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06" w:lineRule="exact" w:before="0"/>
        <w:ind w:left="153" w:right="0" w:firstLine="0"/>
        <w:jc w:val="left"/>
        <w:rPr>
          <w:rFonts w:ascii="方正黑体_GBK" w:hAnsi="方正黑体_GBK" w:cs="方正黑体_GBK" w:eastAsia="方正黑体_GBK"/>
          <w:sz w:val="21"/>
          <w:szCs w:val="21"/>
        </w:rPr>
      </w:pPr>
      <w:r>
        <w:rPr>
          <w:rFonts w:ascii="方正黑体_GBK" w:hAnsi="方正黑体_GBK" w:cs="方正黑体_GBK" w:eastAsia="方正黑体_GBK"/>
          <w:spacing w:val="2"/>
          <w:w w:val="95"/>
          <w:sz w:val="21"/>
          <w:szCs w:val="21"/>
        </w:rPr>
        <w:t>附件4</w:t>
      </w:r>
      <w:r>
        <w:rPr>
          <w:rFonts w:ascii="方正黑体_GBK" w:hAnsi="方正黑体_GBK" w:cs="方正黑体_GBK" w:eastAsia="方正黑体_GBK"/>
          <w:sz w:val="21"/>
          <w:szCs w:val="21"/>
        </w:rPr>
      </w:r>
    </w:p>
    <w:p>
      <w:pPr>
        <w:spacing w:line="240" w:lineRule="auto" w:before="13"/>
        <w:rPr>
          <w:rFonts w:ascii="方正黑体_GBK" w:hAnsi="方正黑体_GBK" w:cs="方正黑体_GBK" w:eastAsia="方正黑体_GBK"/>
          <w:sz w:val="33"/>
          <w:szCs w:val="33"/>
        </w:rPr>
      </w:pPr>
      <w:r>
        <w:rPr/>
        <w:br w:type="column"/>
      </w:r>
      <w:r>
        <w:rPr>
          <w:rFonts w:ascii="方正黑体_GBK"/>
          <w:sz w:val="33"/>
        </w:rPr>
      </w:r>
    </w:p>
    <w:p>
      <w:pPr>
        <w:pStyle w:val="BodyText"/>
        <w:spacing w:line="240" w:lineRule="auto"/>
        <w:ind w:right="0"/>
        <w:jc w:val="left"/>
      </w:pPr>
      <w:r>
        <w:rPr/>
        <w:t>拉萨市2023年1-8月国有资本经营预算调出资金变动表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1060" w:bottom="280" w:left="900" w:right="2420"/>
          <w:cols w:num="2" w:equalWidth="0">
            <w:col w:w="682" w:space="1881"/>
            <w:col w:w="10957"/>
          </w:cols>
        </w:sectPr>
      </w:pPr>
    </w:p>
    <w:p>
      <w:pPr>
        <w:spacing w:line="240" w:lineRule="auto" w:before="10"/>
        <w:rPr>
          <w:rFonts w:ascii="黑体" w:hAnsi="黑体" w:cs="黑体" w:eastAsia="黑体"/>
          <w:sz w:val="19"/>
          <w:szCs w:val="19"/>
        </w:rPr>
      </w:pPr>
    </w:p>
    <w:p>
      <w:pPr>
        <w:spacing w:before="1"/>
        <w:ind w:left="0" w:right="2249" w:firstLine="0"/>
        <w:jc w:val="right"/>
        <w:rPr>
          <w:rFonts w:ascii="方正仿宋_GBK" w:hAnsi="方正仿宋_GBK" w:cs="方正仿宋_GBK" w:eastAsia="方正仿宋_GBK"/>
          <w:sz w:val="21"/>
          <w:szCs w:val="21"/>
        </w:rPr>
      </w:pPr>
      <w:r>
        <w:rPr>
          <w:rFonts w:ascii="方正仿宋_GBK" w:hAnsi="方正仿宋_GBK" w:cs="方正仿宋_GBK" w:eastAsia="方正仿宋_GBK"/>
          <w:sz w:val="21"/>
          <w:szCs w:val="21"/>
        </w:rPr>
        <w:t>单位：万元</w:t>
      </w:r>
    </w:p>
    <w:p>
      <w:pPr>
        <w:spacing w:line="240" w:lineRule="auto" w:before="13"/>
        <w:rPr>
          <w:rFonts w:ascii="方正仿宋_GBK" w:hAnsi="方正仿宋_GBK" w:cs="方正仿宋_GBK" w:eastAsia="方正仿宋_GBK"/>
          <w:sz w:val="6"/>
          <w:szCs w:val="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3"/>
        <w:gridCol w:w="2573"/>
        <w:gridCol w:w="2455"/>
        <w:gridCol w:w="2456"/>
        <w:gridCol w:w="2456"/>
      </w:tblGrid>
      <w:tr>
        <w:trPr>
          <w:trHeight w:val="578" w:hRule="exact"/>
        </w:trPr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26" w:right="0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/>
                <w:bCs/>
                <w:sz w:val="24"/>
                <w:szCs w:val="24"/>
              </w:rPr>
              <w:t>级次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724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/>
                <w:bCs/>
                <w:sz w:val="24"/>
                <w:szCs w:val="24"/>
              </w:rPr>
              <w:t>年初预算数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295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/>
                <w:bCs/>
                <w:sz w:val="24"/>
                <w:szCs w:val="24"/>
              </w:rPr>
              <w:t>第一次预算调整数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665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/>
                <w:bCs/>
                <w:sz w:val="24"/>
                <w:szCs w:val="24"/>
              </w:rPr>
              <w:t>本次增加数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417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/>
                <w:bCs/>
                <w:sz w:val="24"/>
                <w:szCs w:val="24"/>
              </w:rPr>
              <w:t>本次预算调整数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</w:tr>
      <w:tr>
        <w:trPr>
          <w:trHeight w:val="578" w:hRule="exact"/>
        </w:trPr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974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市本级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464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2,708.00</w:t>
            </w:r>
          </w:p>
        </w:tc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255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2,708.00</w:t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500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512.00</w:t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255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3,220.00</w:t>
            </w:r>
          </w:p>
        </w:tc>
      </w:tr>
      <w:tr>
        <w:trPr>
          <w:trHeight w:val="579" w:hRule="exact"/>
        </w:trPr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56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/>
                <w:bCs/>
                <w:sz w:val="24"/>
                <w:szCs w:val="24"/>
              </w:rPr>
              <w:t>县区小计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653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319.00</w:t>
            </w:r>
            <w:r>
              <w:rPr>
                <w:rFonts w:ascii="宋体"/>
                <w:sz w:val="24"/>
              </w:rPr>
            </w:r>
          </w:p>
        </w:tc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528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319.00</w:t>
            </w:r>
            <w:r>
              <w:rPr>
                <w:rFonts w:ascii="宋体"/>
                <w:sz w:val="24"/>
              </w:rPr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528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466.00</w:t>
            </w:r>
            <w:r>
              <w:rPr>
                <w:rFonts w:ascii="宋体"/>
                <w:sz w:val="24"/>
              </w:rPr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528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785.00</w:t>
            </w:r>
            <w:r>
              <w:rPr>
                <w:rFonts w:ascii="宋体"/>
                <w:sz w:val="24"/>
              </w:rPr>
            </w:r>
          </w:p>
        </w:tc>
      </w:tr>
      <w:tr>
        <w:trPr>
          <w:trHeight w:val="578" w:hRule="exact"/>
        </w:trPr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974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当雄县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233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w w:val="101"/>
                <w:sz w:val="24"/>
              </w:rPr>
              <w:t>-</w:t>
            </w:r>
            <w:r>
              <w:rPr>
                <w:rFonts w:ascii="宋体"/>
                <w:sz w:val="24"/>
              </w:rPr>
            </w:r>
          </w:p>
        </w:tc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446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w w:val="101"/>
                <w:sz w:val="24"/>
              </w:rPr>
              <w:t>-</w:t>
            </w:r>
            <w:r>
              <w:rPr>
                <w:rFonts w:ascii="宋体"/>
                <w:sz w:val="24"/>
              </w:rPr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447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w w:val="101"/>
                <w:sz w:val="24"/>
              </w:rPr>
              <w:t>-</w:t>
            </w:r>
            <w:r>
              <w:rPr>
                <w:rFonts w:ascii="宋体"/>
                <w:sz w:val="24"/>
              </w:rPr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447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w w:val="101"/>
                <w:sz w:val="24"/>
              </w:rPr>
              <w:t>-</w:t>
            </w:r>
            <w:r>
              <w:rPr>
                <w:rFonts w:ascii="宋体"/>
                <w:sz w:val="24"/>
              </w:rPr>
            </w:r>
          </w:p>
        </w:tc>
      </w:tr>
      <w:tr>
        <w:trPr>
          <w:trHeight w:val="578" w:hRule="exact"/>
        </w:trPr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974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尼木县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111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67.00</w:t>
            </w:r>
          </w:p>
        </w:tc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62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67.00</w:t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500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-20.00</w:t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62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47.00</w:t>
            </w:r>
          </w:p>
        </w:tc>
      </w:tr>
      <w:tr>
        <w:trPr>
          <w:trHeight w:val="578" w:hRule="exact"/>
        </w:trPr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974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曲水县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233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w w:val="102"/>
                <w:sz w:val="24"/>
              </w:rPr>
              <w:t>-</w:t>
            </w:r>
            <w:r>
              <w:rPr>
                <w:rFonts w:ascii="宋体"/>
                <w:sz w:val="24"/>
              </w:rPr>
            </w:r>
          </w:p>
        </w:tc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446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w w:val="102"/>
                <w:sz w:val="24"/>
              </w:rPr>
              <w:t>-</w:t>
            </w:r>
            <w:r>
              <w:rPr>
                <w:rFonts w:ascii="宋体"/>
                <w:sz w:val="24"/>
              </w:rPr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447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w w:val="102"/>
                <w:sz w:val="24"/>
              </w:rPr>
              <w:t>-</w:t>
            </w:r>
            <w:r>
              <w:rPr>
                <w:rFonts w:ascii="宋体"/>
                <w:sz w:val="24"/>
              </w:rPr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447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w w:val="102"/>
                <w:sz w:val="24"/>
              </w:rPr>
              <w:t>-</w:t>
            </w:r>
            <w:r>
              <w:rPr>
                <w:rFonts w:ascii="宋体"/>
                <w:sz w:val="24"/>
              </w:rPr>
            </w:r>
          </w:p>
        </w:tc>
      </w:tr>
      <w:tr>
        <w:trPr>
          <w:trHeight w:val="578" w:hRule="exact"/>
        </w:trPr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729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堆龙德庆区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233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w w:val="101"/>
                <w:sz w:val="24"/>
              </w:rPr>
              <w:t>-</w:t>
            </w:r>
            <w:r>
              <w:rPr>
                <w:rFonts w:ascii="宋体"/>
                <w:sz w:val="24"/>
              </w:rPr>
            </w:r>
          </w:p>
        </w:tc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446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w w:val="101"/>
                <w:sz w:val="24"/>
              </w:rPr>
              <w:t>-</w:t>
            </w:r>
            <w:r>
              <w:rPr>
                <w:rFonts w:ascii="宋体"/>
                <w:sz w:val="24"/>
              </w:rPr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447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w w:val="101"/>
                <w:sz w:val="24"/>
              </w:rPr>
              <w:t>-</w:t>
            </w:r>
            <w:r>
              <w:rPr>
                <w:rFonts w:ascii="宋体"/>
                <w:sz w:val="24"/>
              </w:rPr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447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w w:val="101"/>
                <w:sz w:val="24"/>
              </w:rPr>
              <w:t>-</w:t>
            </w:r>
            <w:r>
              <w:rPr>
                <w:rFonts w:ascii="宋体"/>
                <w:sz w:val="24"/>
              </w:rPr>
            </w:r>
          </w:p>
        </w:tc>
      </w:tr>
      <w:tr>
        <w:trPr>
          <w:trHeight w:val="579" w:hRule="exact"/>
        </w:trPr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974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城关区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111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27.00</w:t>
            </w:r>
          </w:p>
        </w:tc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62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27.00</w:t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62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10.00</w:t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62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37.00</w:t>
            </w:r>
          </w:p>
        </w:tc>
      </w:tr>
      <w:tr>
        <w:trPr>
          <w:trHeight w:val="578" w:hRule="exact"/>
        </w:trPr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974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达孜区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233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w w:val="101"/>
                <w:sz w:val="24"/>
              </w:rPr>
              <w:t>-</w:t>
            </w:r>
            <w:r>
              <w:rPr>
                <w:rFonts w:ascii="宋体"/>
                <w:sz w:val="24"/>
              </w:rPr>
            </w:r>
          </w:p>
        </w:tc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446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w w:val="101"/>
                <w:sz w:val="24"/>
              </w:rPr>
              <w:t>-</w:t>
            </w:r>
            <w:r>
              <w:rPr>
                <w:rFonts w:ascii="宋体"/>
                <w:sz w:val="24"/>
              </w:rPr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62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10.00</w:t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62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10.00</w:t>
            </w:r>
          </w:p>
        </w:tc>
      </w:tr>
      <w:tr>
        <w:trPr>
          <w:trHeight w:val="578" w:hRule="exact"/>
        </w:trPr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729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墨竹工卡县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233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w w:val="101"/>
                <w:sz w:val="24"/>
              </w:rPr>
              <w:t>-</w:t>
            </w:r>
            <w:r>
              <w:rPr>
                <w:rFonts w:ascii="宋体"/>
                <w:sz w:val="24"/>
              </w:rPr>
            </w:r>
          </w:p>
        </w:tc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446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w w:val="101"/>
                <w:sz w:val="24"/>
              </w:rPr>
              <w:t>-</w:t>
            </w:r>
            <w:r>
              <w:rPr>
                <w:rFonts w:ascii="宋体"/>
                <w:sz w:val="24"/>
              </w:rPr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447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w w:val="101"/>
                <w:sz w:val="24"/>
              </w:rPr>
              <w:t>-</w:t>
            </w:r>
            <w:r>
              <w:rPr>
                <w:rFonts w:ascii="宋体"/>
                <w:sz w:val="24"/>
              </w:rPr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447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w w:val="101"/>
                <w:sz w:val="24"/>
              </w:rPr>
              <w:t>-</w:t>
            </w:r>
            <w:r>
              <w:rPr>
                <w:rFonts w:ascii="宋体"/>
                <w:sz w:val="24"/>
              </w:rPr>
            </w:r>
          </w:p>
        </w:tc>
      </w:tr>
      <w:tr>
        <w:trPr>
          <w:trHeight w:val="578" w:hRule="exact"/>
        </w:trPr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974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林周县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233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w w:val="102"/>
                <w:sz w:val="24"/>
              </w:rPr>
              <w:t>-</w:t>
            </w:r>
            <w:r>
              <w:rPr>
                <w:rFonts w:ascii="宋体"/>
                <w:sz w:val="24"/>
              </w:rPr>
            </w:r>
          </w:p>
        </w:tc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446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w w:val="102"/>
                <w:sz w:val="24"/>
              </w:rPr>
              <w:t>-</w:t>
            </w:r>
            <w:r>
              <w:rPr>
                <w:rFonts w:ascii="宋体"/>
                <w:sz w:val="24"/>
              </w:rPr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62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13.00</w:t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62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13.00</w:t>
            </w:r>
          </w:p>
        </w:tc>
      </w:tr>
      <w:tr>
        <w:trPr>
          <w:trHeight w:val="579" w:hRule="exact"/>
        </w:trPr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974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经开区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111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45.00</w:t>
            </w:r>
          </w:p>
        </w:tc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62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45.00</w:t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500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540.00</w:t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500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585.00</w:t>
            </w:r>
          </w:p>
        </w:tc>
      </w:tr>
      <w:tr>
        <w:trPr>
          <w:trHeight w:val="578" w:hRule="exact"/>
        </w:trPr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85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柳梧新区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right="111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180.00</w:t>
            </w:r>
          </w:p>
        </w:tc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500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180.00</w:t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500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-87.00</w:t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622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93.00</w:t>
            </w:r>
          </w:p>
        </w:tc>
      </w:tr>
      <w:tr>
        <w:trPr>
          <w:trHeight w:val="578" w:hRule="exact"/>
        </w:trPr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56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b/>
                <w:bCs/>
                <w:sz w:val="24"/>
                <w:szCs w:val="24"/>
              </w:rPr>
              <w:t>合计</w:t>
            </w:r>
            <w:r>
              <w:rPr>
                <w:rFonts w:ascii="宋体" w:hAnsi="宋体" w:cs="宋体" w:eastAsia="宋体"/>
                <w:sz w:val="24"/>
                <w:szCs w:val="24"/>
              </w:rPr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404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3,027.00</w:t>
            </w:r>
            <w:r>
              <w:rPr>
                <w:rFonts w:ascii="宋体"/>
                <w:sz w:val="24"/>
              </w:rPr>
            </w:r>
          </w:p>
        </w:tc>
        <w:tc>
          <w:tcPr>
            <w:tcW w:w="2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279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3,027.00</w:t>
            </w:r>
            <w:r>
              <w:rPr>
                <w:rFonts w:ascii="宋体"/>
                <w:sz w:val="24"/>
              </w:rPr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528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978.00</w:t>
            </w:r>
            <w:r>
              <w:rPr>
                <w:rFonts w:ascii="宋体"/>
                <w:sz w:val="24"/>
              </w:rPr>
            </w:r>
          </w:p>
        </w:tc>
        <w:tc>
          <w:tcPr>
            <w:tcW w:w="2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6"/>
              <w:ind w:left="1279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/>
                <w:b/>
                <w:sz w:val="24"/>
              </w:rPr>
              <w:t>4,005.00</w:t>
            </w:r>
            <w:r>
              <w:rPr>
                <w:rFonts w:ascii="宋体"/>
                <w:sz w:val="24"/>
              </w:rPr>
            </w:r>
          </w:p>
        </w:tc>
      </w:tr>
    </w:tbl>
    <w:sectPr>
      <w:type w:val="continuous"/>
      <w:pgSz w:w="16840" w:h="11910" w:orient="landscape"/>
      <w:pgMar w:top="1060" w:bottom="280" w:left="90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  <w:font w:name="方正黑体_GBK">
    <w:altName w:val="方正黑体_GBK"/>
    <w:charset w:val="86"/>
    <w:family w:val="script"/>
    <w:pitch w:val="fixed"/>
  </w:font>
  <w:font w:name="方正仿宋_GBK">
    <w:altName w:val="方正仿宋_GBK"/>
    <w:charset w:val="86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3"/>
    </w:pPr>
    <w:rPr>
      <w:rFonts w:ascii="黑体" w:hAnsi="黑体" w:eastAsia="黑体"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CN=李鑫/OU=预算科/OU=拉萨市财政局/OU=西藏自治区财政厅/O=TIBET</dc:creator>
  <dcterms:created xsi:type="dcterms:W3CDTF">2023-11-23T11:39:38Z</dcterms:created>
  <dcterms:modified xsi:type="dcterms:W3CDTF">2023-11-23T11:39:38Z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2023-11-23T00:00:00Z</vt:filetime>
  </property>
</Properties>
</file>